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14:paraId="57C66792" w14:textId="77777777" w:rsidTr="00E94324">
        <w:trPr>
          <w:trHeight w:val="3534"/>
        </w:trPr>
        <w:tc>
          <w:tcPr>
            <w:tcW w:w="5211" w:type="dxa"/>
            <w:shd w:val="clear" w:color="auto" w:fill="auto"/>
          </w:tcPr>
          <w:p w14:paraId="3179DC72" w14:textId="77777777"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14:paraId="2B0AC839" w14:textId="77777777" w:rsidR="00AD7AEA" w:rsidRPr="00E94324" w:rsidRDefault="00AD7AEA" w:rsidP="0072342E">
            <w:pPr>
              <w:framePr w:hSpace="180" w:wrap="auto" w:vAnchor="page" w:hAnchor="margin" w:x="358" w:y="905"/>
              <w:ind w:left="257"/>
              <w:rPr>
                <w:szCs w:val="24"/>
              </w:rPr>
            </w:pPr>
          </w:p>
          <w:p w14:paraId="57AFFF22" w14:textId="77777777" w:rsidR="00AD7AEA" w:rsidRPr="00E94324" w:rsidRDefault="00AD7AEA" w:rsidP="0072342E">
            <w:pPr>
              <w:framePr w:hSpace="180" w:wrap="auto" w:vAnchor="page" w:hAnchor="margin" w:x="358" w:y="905"/>
              <w:rPr>
                <w:szCs w:val="24"/>
              </w:rPr>
            </w:pPr>
          </w:p>
          <w:p w14:paraId="15DB9FAF" w14:textId="252B1BF7"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14:paraId="2589B85E" w14:textId="77777777" w:rsidR="00A13C28" w:rsidRPr="00E94324" w:rsidRDefault="00A13C28" w:rsidP="00A13C28">
            <w:pPr>
              <w:framePr w:hSpace="180" w:wrap="auto" w:vAnchor="page" w:hAnchor="margin" w:x="358" w:y="905"/>
              <w:rPr>
                <w:szCs w:val="24"/>
              </w:rPr>
            </w:pPr>
            <w:r w:rsidRPr="00E94324">
              <w:rPr>
                <w:szCs w:val="24"/>
              </w:rPr>
              <w:t>АО «ДК РЕГИОН»</w:t>
            </w:r>
          </w:p>
          <w:p w14:paraId="2F72C60A" w14:textId="77777777" w:rsidR="00A13C28" w:rsidRPr="00E94324" w:rsidRDefault="00A13C28" w:rsidP="00A13C28">
            <w:pPr>
              <w:framePr w:hSpace="180" w:wrap="auto" w:vAnchor="page" w:hAnchor="margin" w:x="358" w:y="905"/>
              <w:ind w:left="257"/>
              <w:rPr>
                <w:szCs w:val="24"/>
              </w:rPr>
            </w:pPr>
          </w:p>
          <w:p w14:paraId="612449F1" w14:textId="77777777" w:rsidR="00A13C28" w:rsidRPr="00E94324" w:rsidRDefault="00A13C28" w:rsidP="00A13C28">
            <w:pPr>
              <w:framePr w:hSpace="180" w:wrap="auto" w:vAnchor="page" w:hAnchor="margin" w:x="358" w:y="905"/>
              <w:ind w:left="257"/>
              <w:rPr>
                <w:szCs w:val="24"/>
              </w:rPr>
            </w:pPr>
          </w:p>
          <w:p w14:paraId="48359A5C" w14:textId="77777777" w:rsidR="00A13C28" w:rsidRPr="00E94324" w:rsidRDefault="00A13C28" w:rsidP="00A13C28">
            <w:pPr>
              <w:framePr w:hSpace="180" w:wrap="auto" w:vAnchor="page" w:hAnchor="margin" w:x="358" w:y="905"/>
              <w:ind w:left="257"/>
              <w:rPr>
                <w:szCs w:val="24"/>
              </w:rPr>
            </w:pPr>
          </w:p>
          <w:p w14:paraId="4B6FA645" w14:textId="77777777" w:rsidR="00A13C28" w:rsidRPr="00E94324" w:rsidRDefault="00A13C28" w:rsidP="00A13C28">
            <w:pPr>
              <w:framePr w:hSpace="180" w:wrap="auto" w:vAnchor="page" w:hAnchor="margin" w:x="358" w:y="905"/>
              <w:ind w:left="257"/>
              <w:rPr>
                <w:szCs w:val="24"/>
              </w:rPr>
            </w:pPr>
          </w:p>
          <w:p w14:paraId="154A7FA8" w14:textId="074E6BD0"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14:paraId="66101AA8" w14:textId="77777777" w:rsidR="00AD7AEA" w:rsidRPr="00E94324" w:rsidRDefault="00AD7AEA" w:rsidP="0072342E">
            <w:pPr>
              <w:framePr w:hSpace="180" w:wrap="auto" w:vAnchor="page" w:hAnchor="margin" w:x="358" w:y="905"/>
              <w:rPr>
                <w:szCs w:val="24"/>
              </w:rPr>
            </w:pPr>
          </w:p>
          <w:p w14:paraId="7B3BBE41" w14:textId="77777777" w:rsidR="00E96A1C" w:rsidRDefault="00E96A1C" w:rsidP="00800856">
            <w:pPr>
              <w:framePr w:hSpace="180" w:wrap="auto" w:vAnchor="page" w:hAnchor="margin" w:x="358" w:y="905"/>
              <w:rPr>
                <w:szCs w:val="24"/>
              </w:rPr>
            </w:pPr>
          </w:p>
          <w:p w14:paraId="12DB9BF1" w14:textId="749243D2" w:rsidR="00AD7AEA" w:rsidRPr="00E94324" w:rsidRDefault="00F013EC" w:rsidP="00800856">
            <w:pPr>
              <w:framePr w:hSpace="180" w:wrap="auto" w:vAnchor="page" w:hAnchor="margin" w:x="358" w:y="905"/>
              <w:rPr>
                <w:sz w:val="28"/>
                <w:szCs w:val="28"/>
              </w:rPr>
            </w:pPr>
            <w:r w:rsidRPr="00E94324">
              <w:rPr>
                <w:szCs w:val="24"/>
              </w:rPr>
              <w:t>«</w:t>
            </w:r>
            <w:r w:rsidR="00800856">
              <w:rPr>
                <w:szCs w:val="24"/>
              </w:rPr>
              <w:t>10</w:t>
            </w:r>
            <w:r w:rsidRPr="00E94324">
              <w:rPr>
                <w:szCs w:val="24"/>
              </w:rPr>
              <w:t xml:space="preserve">» </w:t>
            </w:r>
            <w:r w:rsidR="00800856">
              <w:rPr>
                <w:szCs w:val="24"/>
              </w:rPr>
              <w:t>августа</w:t>
            </w:r>
            <w:r w:rsidR="00E94324" w:rsidRPr="00E94324">
              <w:rPr>
                <w:szCs w:val="24"/>
              </w:rPr>
              <w:t xml:space="preserve">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14:paraId="0DFA182A" w14:textId="77777777" w:rsidR="00AD7AEA" w:rsidRPr="00E94324" w:rsidRDefault="00AD7AEA" w:rsidP="0072342E">
            <w:pPr>
              <w:framePr w:hSpace="180" w:wrap="auto" w:vAnchor="page" w:hAnchor="margin" w:x="358" w:y="905"/>
              <w:rPr>
                <w:szCs w:val="24"/>
              </w:rPr>
            </w:pPr>
            <w:r w:rsidRPr="00E94324">
              <w:rPr>
                <w:szCs w:val="24"/>
              </w:rPr>
              <w:t xml:space="preserve">УТВЕРЖДЕНО </w:t>
            </w:r>
          </w:p>
          <w:p w14:paraId="4E7DABCB" w14:textId="77777777" w:rsidR="00AD7AEA" w:rsidRPr="00E94324" w:rsidRDefault="00AD7AEA" w:rsidP="0072342E">
            <w:pPr>
              <w:framePr w:hSpace="180" w:wrap="auto" w:vAnchor="page" w:hAnchor="margin" w:x="358" w:y="905"/>
              <w:rPr>
                <w:szCs w:val="24"/>
              </w:rPr>
            </w:pPr>
          </w:p>
          <w:p w14:paraId="46346EDA" w14:textId="77777777" w:rsidR="00AD7AEA" w:rsidRPr="00E94324" w:rsidRDefault="00AD7AEA" w:rsidP="0072342E">
            <w:pPr>
              <w:framePr w:hSpace="180" w:wrap="auto" w:vAnchor="page" w:hAnchor="margin" w:x="358" w:y="905"/>
              <w:rPr>
                <w:szCs w:val="24"/>
              </w:rPr>
            </w:pPr>
          </w:p>
          <w:p w14:paraId="648D6E72" w14:textId="77777777"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14:paraId="20D2EFAC" w14:textId="77777777" w:rsidR="00AD7AEA" w:rsidRPr="00E94324" w:rsidRDefault="00867899" w:rsidP="0072342E">
            <w:pPr>
              <w:framePr w:hSpace="180" w:wrap="auto" w:vAnchor="page" w:hAnchor="margin" w:x="358" w:y="905"/>
              <w:rPr>
                <w:szCs w:val="24"/>
              </w:rPr>
            </w:pPr>
            <w:r w:rsidRPr="00E94324">
              <w:rPr>
                <w:szCs w:val="24"/>
              </w:rPr>
              <w:t>АО «РЕГИОН ЭсМ»</w:t>
            </w:r>
          </w:p>
          <w:p w14:paraId="57414E4F" w14:textId="77777777" w:rsidR="00AD7AEA" w:rsidRPr="00E94324" w:rsidRDefault="00AD7AEA" w:rsidP="0072342E">
            <w:pPr>
              <w:framePr w:hSpace="180" w:wrap="auto" w:vAnchor="page" w:hAnchor="margin" w:x="358" w:y="905"/>
              <w:rPr>
                <w:szCs w:val="24"/>
              </w:rPr>
            </w:pPr>
          </w:p>
          <w:p w14:paraId="7F6608B5" w14:textId="77777777" w:rsidR="00AD7AEA" w:rsidRPr="00E94324" w:rsidRDefault="00AD7AEA" w:rsidP="0072342E">
            <w:pPr>
              <w:framePr w:hSpace="180" w:wrap="auto" w:vAnchor="page" w:hAnchor="margin" w:x="358" w:y="905"/>
              <w:rPr>
                <w:szCs w:val="24"/>
              </w:rPr>
            </w:pPr>
          </w:p>
          <w:p w14:paraId="08690A0F" w14:textId="77777777" w:rsidR="001B3087" w:rsidRPr="00E94324" w:rsidRDefault="001B3087" w:rsidP="0072342E">
            <w:pPr>
              <w:framePr w:hSpace="180" w:wrap="auto" w:vAnchor="page" w:hAnchor="margin" w:x="358" w:y="905"/>
              <w:rPr>
                <w:szCs w:val="24"/>
              </w:rPr>
            </w:pPr>
          </w:p>
          <w:p w14:paraId="40B39021" w14:textId="77777777" w:rsidR="00AD7AEA" w:rsidRPr="00E94324" w:rsidRDefault="00AD7AEA" w:rsidP="0072342E">
            <w:pPr>
              <w:framePr w:hSpace="180" w:wrap="auto" w:vAnchor="page" w:hAnchor="margin" w:x="358" w:y="905"/>
              <w:rPr>
                <w:szCs w:val="24"/>
              </w:rPr>
            </w:pPr>
          </w:p>
          <w:p w14:paraId="43AD220C" w14:textId="77777777"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14:paraId="63FFFAF4" w14:textId="77777777" w:rsidR="00AD7AEA" w:rsidRPr="00E94324" w:rsidRDefault="00AD7AEA" w:rsidP="0072342E">
            <w:pPr>
              <w:framePr w:hSpace="180" w:wrap="auto" w:vAnchor="page" w:hAnchor="margin" w:x="358" w:y="905"/>
              <w:tabs>
                <w:tab w:val="left" w:pos="2722"/>
              </w:tabs>
              <w:rPr>
                <w:szCs w:val="24"/>
              </w:rPr>
            </w:pPr>
          </w:p>
          <w:p w14:paraId="55E3D8E0" w14:textId="77777777" w:rsidR="00800856" w:rsidRDefault="00800856" w:rsidP="00800856">
            <w:pPr>
              <w:framePr w:hSpace="180" w:wrap="auto" w:vAnchor="page" w:hAnchor="margin" w:x="358" w:y="905"/>
              <w:tabs>
                <w:tab w:val="left" w:pos="2722"/>
              </w:tabs>
              <w:rPr>
                <w:szCs w:val="24"/>
              </w:rPr>
            </w:pPr>
          </w:p>
          <w:p w14:paraId="6E4B3F40" w14:textId="11653D8B" w:rsidR="00AD7AEA" w:rsidRPr="00E94324" w:rsidRDefault="009F3E47" w:rsidP="00800856">
            <w:pPr>
              <w:framePr w:hSpace="180" w:wrap="auto" w:vAnchor="page" w:hAnchor="margin" w:x="358" w:y="905"/>
              <w:tabs>
                <w:tab w:val="left" w:pos="2722"/>
              </w:tabs>
              <w:rPr>
                <w:szCs w:val="24"/>
              </w:rPr>
            </w:pPr>
            <w:r w:rsidRPr="00E94324">
              <w:rPr>
                <w:szCs w:val="24"/>
              </w:rPr>
              <w:t>«</w:t>
            </w:r>
            <w:r w:rsidR="00800856">
              <w:rPr>
                <w:szCs w:val="24"/>
              </w:rPr>
              <w:t>10</w:t>
            </w:r>
            <w:r w:rsidR="00AF5515" w:rsidRPr="00E94324">
              <w:rPr>
                <w:szCs w:val="24"/>
              </w:rPr>
              <w:t xml:space="preserve">» </w:t>
            </w:r>
            <w:r w:rsidR="00800856">
              <w:rPr>
                <w:szCs w:val="24"/>
              </w:rPr>
              <w:t xml:space="preserve">августа </w:t>
            </w:r>
            <w:r w:rsidR="00800856" w:rsidRPr="00E94324">
              <w:rPr>
                <w:szCs w:val="24"/>
              </w:rPr>
              <w:t xml:space="preserve">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07972931" w14:textId="77777777" w:rsidR="00603AB0" w:rsidRDefault="00603AB0" w:rsidP="00F04A45">
      <w:pPr>
        <w:ind w:left="360"/>
        <w:rPr>
          <w:sz w:val="28"/>
          <w:szCs w:val="28"/>
        </w:rPr>
      </w:pPr>
    </w:p>
    <w:p w14:paraId="4D13FAC4" w14:textId="77777777" w:rsidR="00603AB0" w:rsidRDefault="00603AB0" w:rsidP="00F04A45">
      <w:pPr>
        <w:ind w:left="360"/>
        <w:rPr>
          <w:sz w:val="28"/>
          <w:szCs w:val="28"/>
        </w:rPr>
      </w:pPr>
    </w:p>
    <w:p w14:paraId="1288135D" w14:textId="77777777" w:rsidR="00603AB0" w:rsidRPr="00207827" w:rsidRDefault="00603AB0" w:rsidP="00F04A45">
      <w:pPr>
        <w:ind w:left="360"/>
        <w:rPr>
          <w:sz w:val="28"/>
          <w:szCs w:val="28"/>
        </w:rPr>
      </w:pPr>
    </w:p>
    <w:p w14:paraId="4C7421A3" w14:textId="77777777" w:rsidR="00F04A45" w:rsidRPr="00207827" w:rsidRDefault="00F04A45" w:rsidP="00F04A45">
      <w:pPr>
        <w:ind w:left="360"/>
        <w:rPr>
          <w:sz w:val="28"/>
          <w:szCs w:val="28"/>
        </w:rPr>
      </w:pPr>
    </w:p>
    <w:p w14:paraId="1E3B44CE" w14:textId="77777777" w:rsidR="00F04A45" w:rsidRDefault="00F04A45" w:rsidP="00F04A45">
      <w:pPr>
        <w:jc w:val="center"/>
        <w:rPr>
          <w:b/>
          <w:bCs/>
          <w:sz w:val="34"/>
          <w:szCs w:val="34"/>
        </w:rPr>
      </w:pPr>
      <w:r w:rsidRPr="00207827">
        <w:rPr>
          <w:b/>
          <w:bCs/>
          <w:sz w:val="34"/>
          <w:szCs w:val="34"/>
        </w:rPr>
        <w:t>ПРАВИЛА</w:t>
      </w:r>
    </w:p>
    <w:p w14:paraId="62CB5D76" w14:textId="77777777" w:rsidR="00F04A45" w:rsidRDefault="00F04A45" w:rsidP="00F04A45">
      <w:pPr>
        <w:jc w:val="center"/>
        <w:rPr>
          <w:b/>
          <w:bCs/>
          <w:sz w:val="32"/>
          <w:szCs w:val="32"/>
        </w:rPr>
      </w:pPr>
      <w:r w:rsidRPr="00287F00">
        <w:rPr>
          <w:b/>
          <w:bCs/>
          <w:sz w:val="32"/>
          <w:szCs w:val="32"/>
        </w:rPr>
        <w:t>определения стоимости чистых активов</w:t>
      </w:r>
    </w:p>
    <w:p w14:paraId="2ECD74C6" w14:textId="77777777"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18FD8F29" w14:textId="77777777" w:rsidR="00532BF0" w:rsidRDefault="00532BF0" w:rsidP="0072342E"/>
    <w:p w14:paraId="5269D5C9" w14:textId="77777777" w:rsidR="004B2768" w:rsidRDefault="004B2768" w:rsidP="0072342E"/>
    <w:p w14:paraId="413B5B35" w14:textId="77777777" w:rsidR="004B2768" w:rsidRDefault="004B2768" w:rsidP="0072342E"/>
    <w:p w14:paraId="480D6D89" w14:textId="77777777" w:rsidR="008267F4" w:rsidRDefault="008267F4" w:rsidP="0072342E"/>
    <w:p w14:paraId="462FF43D" w14:textId="77777777" w:rsidR="008267F4" w:rsidRDefault="008267F4" w:rsidP="0072342E"/>
    <w:p w14:paraId="38B9AF56" w14:textId="77777777" w:rsidR="008267F4" w:rsidRDefault="008267F4" w:rsidP="0072342E"/>
    <w:p w14:paraId="468854A7" w14:textId="77777777" w:rsidR="008267F4" w:rsidRDefault="008267F4" w:rsidP="0072342E"/>
    <w:p w14:paraId="77245F69" w14:textId="77777777" w:rsidR="008267F4" w:rsidRDefault="008267F4" w:rsidP="0072342E"/>
    <w:p w14:paraId="496D29B1" w14:textId="77777777" w:rsidR="008267F4" w:rsidRDefault="008267F4" w:rsidP="0072342E"/>
    <w:p w14:paraId="7BE55087" w14:textId="77777777" w:rsidR="008267F4" w:rsidRDefault="008267F4" w:rsidP="0072342E">
      <w:bookmarkStart w:id="0" w:name="_GoBack"/>
      <w:bookmarkEnd w:id="0"/>
    </w:p>
    <w:p w14:paraId="1D26DC45" w14:textId="77777777" w:rsidR="004B2768" w:rsidRDefault="004B2768" w:rsidP="0072342E"/>
    <w:p w14:paraId="46EFE54B" w14:textId="77777777" w:rsidR="004B2768" w:rsidRDefault="004B2768" w:rsidP="0072342E"/>
    <w:p w14:paraId="7C3C3979" w14:textId="77777777" w:rsidR="004B2768" w:rsidRDefault="004B2768" w:rsidP="0072342E"/>
    <w:p w14:paraId="2D75BEE2" w14:textId="77777777"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14:paraId="1928BB8C" w14:textId="77777777" w:rsidR="00EA4001" w:rsidRPr="00B602F2" w:rsidRDefault="00EA4001" w:rsidP="0072342E">
      <w:pPr>
        <w:jc w:val="center"/>
        <w:rPr>
          <w:b/>
          <w:szCs w:val="24"/>
        </w:rPr>
      </w:pPr>
    </w:p>
    <w:p w14:paraId="4AAF9C5C" w14:textId="531F9A2D"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5539C">
        <w:rPr>
          <w:rFonts w:ascii="Times New Roman" w:hAnsi="Times New Roman"/>
          <w:sz w:val="24"/>
          <w:szCs w:val="24"/>
        </w:rPr>
        <w:t xml:space="preserve">             </w:t>
      </w:r>
      <w:r w:rsidRPr="00B602F2">
        <w:rPr>
          <w:rFonts w:ascii="Times New Roman" w:hAnsi="Times New Roman"/>
          <w:sz w:val="24"/>
          <w:szCs w:val="24"/>
        </w:rPr>
        <w:t>№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31.8pt" o:ole="">
            <v:imagedata r:id="rId9" o:title=""/>
          </v:shape>
          <o:OLEObject Type="Embed" ProgID="Equation.3" ShapeID="_x0000_i1025" DrawAspect="Content" ObjectID="_1753183437" r:id="rId10"/>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9.2pt;height:16.75pt" o:ole="">
            <v:imagedata r:id="rId11" o:title=""/>
          </v:shape>
          <o:OLEObject Type="Embed" ProgID="Equation.3" ShapeID="_x0000_i1026" DrawAspect="Content" ObjectID="_1753183438" r:id="rId12"/>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0.9pt;height:10.9pt" o:ole="">
            <v:imagedata r:id="rId13" o:title=""/>
          </v:shape>
          <o:OLEObject Type="Embed" ProgID="Equation.3" ShapeID="_x0000_i1027" DrawAspect="Content" ObjectID="_1753183439" r:id="rId14"/>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35pt;height:21.75pt" o:ole="">
            <v:imagedata r:id="rId15" o:title=""/>
          </v:shape>
          <o:OLEObject Type="Embed" ProgID="Equation.3" ShapeID="_x0000_i1028" DrawAspect="Content" ObjectID="_175318344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0.9pt;height:21.75pt" o:ole="">
            <v:imagedata r:id="rId17" o:title=""/>
          </v:shape>
          <o:OLEObject Type="Embed" ProgID="Equation.3" ShapeID="_x0000_i1029" DrawAspect="Content" ObjectID="_1753183441" r:id="rId18"/>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3.1pt;height:47.7pt" o:ole="">
            <v:imagedata r:id="rId19" o:title=""/>
          </v:shape>
          <o:OLEObject Type="Embed" ProgID="Equation.3" ShapeID="_x0000_i1030" DrawAspect="Content" ObjectID="_1753183442" r:id="rId20"/>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7.7pt;height:18.4pt" o:ole="">
            <v:imagedata r:id="rId21" o:title=""/>
          </v:shape>
          <o:OLEObject Type="Embed" ProgID="Equation.3" ShapeID="_x0000_i1031" DrawAspect="Content" ObjectID="_175318344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4.3pt;height:18.4pt" o:ole="">
            <v:imagedata r:id="rId23" o:title=""/>
          </v:shape>
          <o:OLEObject Type="Embed" ProgID="Equation.3" ShapeID="_x0000_i1032" DrawAspect="Content" ObjectID="_175318344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2pt;height:9.2pt" o:ole="">
            <v:imagedata r:id="rId25" o:title=""/>
          </v:shape>
          <o:OLEObject Type="Embed" ProgID="Equation.3" ShapeID="_x0000_i1033" DrawAspect="Content" ObjectID="_1753183445" r:id="rId26"/>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4.3pt;height:21.75pt" o:ole="">
            <v:imagedata r:id="rId27" o:title=""/>
          </v:shape>
          <o:OLEObject Type="Embed" ProgID="Equation.3" ShapeID="_x0000_i1034" DrawAspect="Content" ObjectID="_175318344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6pt;height:22.6pt" o:ole="">
            <v:imagedata r:id="rId29" o:title=""/>
          </v:shape>
          <o:OLEObject Type="Embed" ProgID="Equation.3" ShapeID="_x0000_i1035" DrawAspect="Content" ObjectID="_175318344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4pt;height:21.75pt" o:ole="">
            <v:imagedata r:id="rId31" o:title=""/>
          </v:shape>
          <o:OLEObject Type="Embed" ProgID="Equation.3" ShapeID="_x0000_i1036" DrawAspect="Content" ObjectID="_1753183448" r:id="rId32"/>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5F73BD01">
                <v:shape id="_x0000_i1038" type="#_x0000_t75" style="width:56.1pt;height:33.5pt" o:ole="">
                  <v:imagedata r:id="rId33" o:title=""/>
                </v:shape>
                <o:OLEObject Type="Embed" ProgID="Equation.3" ShapeID="_x0000_i1038" DrawAspect="Content" ObjectID="_1753183449" r:id="rId34"/>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0.9pt;height:21.75pt" o:ole="">
            <v:imagedata r:id="rId35" o:title=""/>
          </v:shape>
          <o:OLEObject Type="Embed" ProgID="Equation.3" ShapeID="_x0000_i1039" DrawAspect="Content" ObjectID="_1753183450"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35pt;height:21.75pt" o:ole="">
            <v:imagedata r:id="rId37" o:title=""/>
          </v:shape>
          <o:OLEObject Type="Embed" ProgID="Equation.3" ShapeID="_x0000_i1040" DrawAspect="Content" ObjectID="_1753183451" r:id="rId38"/>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1pt;height:50.25pt" o:ole="">
            <v:imagedata r:id="rId39" o:title=""/>
          </v:shape>
          <o:OLEObject Type="Embed" ProgID="Equation.3" ShapeID="_x0000_i1041" DrawAspect="Content" ObjectID="_1753183452" r:id="rId40"/>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4pt;height:21.75pt" o:ole="">
            <v:imagedata r:id="rId41" o:title=""/>
          </v:shape>
          <o:OLEObject Type="Embed" ProgID="Equation.3" ShapeID="_x0000_i1042" DrawAspect="Content" ObjectID="_1753183453" r:id="rId42"/>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0.9pt;height:21.75pt" o:ole="">
            <v:imagedata r:id="rId43" o:title=""/>
          </v:shape>
          <o:OLEObject Type="Embed" ProgID="Equation.3" ShapeID="_x0000_i1043" DrawAspect="Content" ObjectID="_1753183454" r:id="rId44"/>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0.9pt;height:10.9pt" o:ole="">
            <v:imagedata r:id="rId13" o:title=""/>
          </v:shape>
          <o:OLEObject Type="Embed" ProgID="Equation.3" ShapeID="_x0000_i1044" DrawAspect="Content" ObjectID="_1753183455" r:id="rId45"/>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0.9pt;height:21.75pt" o:ole="">
            <v:imagedata r:id="rId46" o:title=""/>
          </v:shape>
          <o:OLEObject Type="Embed" ProgID="Equation.3" ShapeID="_x0000_i1045" DrawAspect="Content" ObjectID="_1753183456"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0.9pt;height:21.75pt" o:ole="">
            <v:imagedata r:id="rId43" o:title=""/>
          </v:shape>
          <o:OLEObject Type="Embed" ProgID="Equation.3" ShapeID="_x0000_i1046" DrawAspect="Content" ObjectID="_1753183457" r:id="rId48"/>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0.9pt;height:21.75pt" o:ole="">
            <v:imagedata r:id="rId46" o:title=""/>
          </v:shape>
          <o:OLEObject Type="Embed" ProgID="Equation.3" ShapeID="_x0000_i1047" DrawAspect="Content" ObjectID="_1753183458"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0.9pt;height:21.75pt" o:ole="">
            <v:imagedata r:id="rId43" o:title=""/>
          </v:shape>
          <o:OLEObject Type="Embed" ProgID="Equation.3" ShapeID="_x0000_i1048" DrawAspect="Content" ObjectID="_1753183459" r:id="rId50"/>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15pt;height:21.75pt" o:ole="">
            <v:imagedata r:id="rId51" o:title=""/>
          </v:shape>
          <o:OLEObject Type="Embed" ProgID="Equation.3" ShapeID="_x0000_i1049" DrawAspect="Content" ObjectID="_1753183460"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35pt;height:15.9pt" o:ole="">
            <v:imagedata r:id="rId53" o:title=""/>
          </v:shape>
          <o:OLEObject Type="Embed" ProgID="Equation.3" ShapeID="_x0000_i1050" DrawAspect="Content" ObjectID="_1753183461"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0.9pt;height:21.75pt" o:ole="">
            <v:imagedata r:id="rId43" o:title=""/>
          </v:shape>
          <o:OLEObject Type="Embed" ProgID="Equation.3" ShapeID="_x0000_i1051" DrawAspect="Content" ObjectID="_1753183462" r:id="rId55"/>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1pt;height:131.45pt" o:ole="">
            <v:imagedata r:id="rId56" o:title=""/>
          </v:shape>
          <o:OLEObject Type="Embed" ProgID="Equation.3" ShapeID="_x0000_i1052" DrawAspect="Content" ObjectID="_1753183463" r:id="rId57"/>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53183464"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6pt;height:21.75pt" o:ole="">
            <v:imagedata r:id="rId60" o:title=""/>
          </v:shape>
          <o:OLEObject Type="Embed" ProgID="Equation.3" ShapeID="_x0000_i1054" DrawAspect="Content" ObjectID="_1753183465"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15pt;height:33.5pt" o:ole="">
            <v:imagedata r:id="rId62" o:title=""/>
          </v:shape>
          <o:OLEObject Type="Embed" ProgID="Equation.3" ShapeID="_x0000_i1055" DrawAspect="Content" ObjectID="_1753183466" r:id="rId63"/>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2pt;height:9.2pt" o:ole="">
            <v:imagedata r:id="rId25" o:title=""/>
          </v:shape>
          <o:OLEObject Type="Embed" ProgID="Equation.3" ShapeID="_x0000_i1056" DrawAspect="Content" ObjectID="_1753183467" r:id="rId64"/>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4.3pt;height:21.75pt" o:ole="">
            <v:imagedata r:id="rId27" o:title=""/>
          </v:shape>
          <o:OLEObject Type="Embed" ProgID="Equation.3" ShapeID="_x0000_i1057" DrawAspect="Content" ObjectID="_1753183468"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0.9pt;height:21.75pt" o:ole="">
            <v:imagedata r:id="rId46" o:title=""/>
          </v:shape>
          <o:OLEObject Type="Embed" ProgID="Equation.3" ShapeID="_x0000_i1058" DrawAspect="Content" ObjectID="_1753183469" r:id="rId66"/>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6pt;height:22.6pt" o:ole="">
            <v:imagedata r:id="rId29" o:title=""/>
          </v:shape>
          <o:OLEObject Type="Embed" ProgID="Equation.3" ShapeID="_x0000_i1059" DrawAspect="Content" ObjectID="_1753183470"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0.9pt;height:21.75pt" o:ole="">
            <v:imagedata r:id="rId46" o:title=""/>
          </v:shape>
          <o:OLEObject Type="Embed" ProgID="Equation.3" ShapeID="_x0000_i1060" DrawAspect="Content" ObjectID="_1753183471" r:id="rId68"/>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4pt;height:21.75pt" o:ole="">
            <v:imagedata r:id="rId31" o:title=""/>
          </v:shape>
          <o:OLEObject Type="Embed" ProgID="Equation.3" ShapeID="_x0000_i1061" DrawAspect="Content" ObjectID="_1753183472"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0.9pt;height:21.75pt" o:ole="">
            <v:imagedata r:id="rId46" o:title=""/>
          </v:shape>
          <o:OLEObject Type="Embed" ProgID="Equation.3" ShapeID="_x0000_i1062" DrawAspect="Content" ObjectID="_1753183473" r:id="rId70"/>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75pt;height:21.75pt" o:ole="">
            <v:imagedata r:id="rId71" o:title=""/>
          </v:shape>
          <o:OLEObject Type="Embed" ProgID="Equation.3" ShapeID="_x0000_i1063" DrawAspect="Content" ObjectID="_1753183474"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4pt;height:21.75pt" o:ole="">
            <v:imagedata r:id="rId31" o:title=""/>
          </v:shape>
          <o:OLEObject Type="Embed" ProgID="Equation.3" ShapeID="_x0000_i1064" DrawAspect="Content" ObjectID="_1753183475"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0.9pt;height:21.75pt" o:ole="">
            <v:imagedata r:id="rId46" o:title=""/>
          </v:shape>
          <o:OLEObject Type="Embed" ProgID="Equation.3" ShapeID="_x0000_i1065" DrawAspect="Content" ObjectID="_1753183476"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5pt" o:ole="">
            <v:imagedata r:id="rId75" o:title=""/>
          </v:shape>
          <o:OLEObject Type="Embed" ProgID="Equation.3" ShapeID="_x0000_i1066" DrawAspect="Content" ObjectID="_1753183477" r:id="rId76"/>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4.8pt;height:67pt" o:ole="">
              <v:imagedata r:id="rId77" o:title=""/>
            </v:shape>
            <o:OLEObject Type="Embed" ProgID="Equation.3" ShapeID="_x0000_i1067" DrawAspect="Content" ObjectID="_1753183478"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4AB34F0B">
                <v:shape id="_x0000_i1069" type="#_x0000_t75" style="width:134.8pt;height:62.8pt" o:ole="">
                  <v:imagedata r:id="rId79" o:title=""/>
                </v:shape>
                <o:OLEObject Type="Embed" ProgID="Equation.3" ShapeID="_x0000_i1069" DrawAspect="Content" ObjectID="_1753183479" r:id="rId80"/>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0.9pt;height:21.75pt" o:ole="">
            <v:imagedata r:id="rId43" o:title=""/>
          </v:shape>
          <o:OLEObject Type="Embed" ProgID="Equation.3" ShapeID="_x0000_i1070" DrawAspect="Content" ObjectID="_1753183480"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35pt;height:15.9pt" o:ole="">
            <v:imagedata r:id="rId53" o:title=""/>
          </v:shape>
          <o:OLEObject Type="Embed" ProgID="Equation.3" ShapeID="_x0000_i1071" DrawAspect="Content" ObjectID="_1753183481" r:id="rId82"/>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7B1188C8" w14:textId="77777777"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14:paraId="6A6E19DC" w14:textId="77777777" w:rsidR="009614D9" w:rsidRDefault="00AF4497" w:rsidP="0072342E">
      <w:pPr>
        <w:pStyle w:val="affb"/>
        <w:jc w:val="left"/>
      </w:pPr>
      <w:bookmarkStart w:id="14" w:name="_Toc66447215"/>
      <w:r>
        <w:lastRenderedPageBreak/>
        <w:t xml:space="preserve">                                                                                                </w:t>
      </w:r>
      <w:r w:rsidR="007270C4">
        <w:t xml:space="preserve">                               </w:t>
      </w:r>
    </w:p>
    <w:p w14:paraId="4C984083" w14:textId="77777777" w:rsidR="009614D9" w:rsidRDefault="009614D9" w:rsidP="0072342E">
      <w:pPr>
        <w:pStyle w:val="affb"/>
        <w:jc w:val="left"/>
      </w:pPr>
    </w:p>
    <w:p w14:paraId="07EFCDA4" w14:textId="77777777" w:rsidR="009614D9" w:rsidRDefault="009614D9" w:rsidP="0072342E">
      <w:pPr>
        <w:pStyle w:val="affb"/>
        <w:jc w:val="left"/>
      </w:pPr>
    </w:p>
    <w:p w14:paraId="15B0BD36" w14:textId="77777777" w:rsidR="009614D9" w:rsidRDefault="009614D9" w:rsidP="0072342E">
      <w:pPr>
        <w:pStyle w:val="affb"/>
        <w:jc w:val="left"/>
      </w:pPr>
    </w:p>
    <w:p w14:paraId="38576FAC" w14:textId="77777777" w:rsidR="009614D9" w:rsidRDefault="009614D9" w:rsidP="0072342E">
      <w:pPr>
        <w:pStyle w:val="affb"/>
        <w:jc w:val="left"/>
      </w:pPr>
    </w:p>
    <w:p w14:paraId="0D63F606" w14:textId="77777777" w:rsidR="009614D9" w:rsidRDefault="009614D9" w:rsidP="0072342E">
      <w:pPr>
        <w:pStyle w:val="affb"/>
        <w:jc w:val="left"/>
      </w:pPr>
    </w:p>
    <w:p w14:paraId="4EE2042B" w14:textId="77777777" w:rsidR="009614D9" w:rsidRDefault="009614D9" w:rsidP="0072342E">
      <w:pPr>
        <w:pStyle w:val="affb"/>
        <w:jc w:val="left"/>
      </w:pPr>
    </w:p>
    <w:p w14:paraId="4FC6C41B" w14:textId="77777777" w:rsidR="009614D9" w:rsidRDefault="009614D9" w:rsidP="0072342E">
      <w:pPr>
        <w:pStyle w:val="affb"/>
        <w:jc w:val="left"/>
      </w:pPr>
    </w:p>
    <w:p w14:paraId="175E1B86" w14:textId="77777777" w:rsidR="009614D9" w:rsidRDefault="009614D9" w:rsidP="0072342E">
      <w:pPr>
        <w:pStyle w:val="affb"/>
        <w:jc w:val="left"/>
      </w:pPr>
    </w:p>
    <w:p w14:paraId="1052A3BF" w14:textId="77777777" w:rsidR="009614D9" w:rsidRDefault="009614D9" w:rsidP="0072342E">
      <w:pPr>
        <w:pStyle w:val="affb"/>
        <w:jc w:val="left"/>
      </w:pPr>
    </w:p>
    <w:p w14:paraId="4D60957A" w14:textId="77777777" w:rsidR="009614D9" w:rsidRDefault="009614D9" w:rsidP="0072342E">
      <w:pPr>
        <w:pStyle w:val="affb"/>
        <w:jc w:val="left"/>
      </w:pPr>
    </w:p>
    <w:p w14:paraId="0D5340EA" w14:textId="77777777" w:rsidR="009614D9" w:rsidRDefault="009614D9" w:rsidP="0072342E">
      <w:pPr>
        <w:pStyle w:val="affb"/>
        <w:jc w:val="left"/>
      </w:pPr>
    </w:p>
    <w:p w14:paraId="4DEE1172" w14:textId="77777777" w:rsidR="009614D9" w:rsidRDefault="009614D9" w:rsidP="0072342E">
      <w:pPr>
        <w:pStyle w:val="affb"/>
        <w:jc w:val="left"/>
      </w:pPr>
    </w:p>
    <w:p w14:paraId="41202458" w14:textId="77777777" w:rsidR="009614D9" w:rsidRDefault="009614D9" w:rsidP="0072342E">
      <w:pPr>
        <w:pStyle w:val="affb"/>
        <w:jc w:val="left"/>
      </w:pPr>
    </w:p>
    <w:p w14:paraId="091F2D52" w14:textId="77777777" w:rsidR="009614D9" w:rsidRDefault="009614D9" w:rsidP="0072342E">
      <w:pPr>
        <w:pStyle w:val="affb"/>
        <w:jc w:val="left"/>
      </w:pPr>
    </w:p>
    <w:p w14:paraId="0C1A651B" w14:textId="77777777" w:rsidR="009614D9" w:rsidRDefault="009614D9" w:rsidP="0072342E">
      <w:pPr>
        <w:pStyle w:val="affb"/>
        <w:jc w:val="left"/>
      </w:pPr>
    </w:p>
    <w:p w14:paraId="6BA566C4" w14:textId="77777777" w:rsidR="009614D9" w:rsidRDefault="009614D9" w:rsidP="0072342E">
      <w:pPr>
        <w:pStyle w:val="affb"/>
        <w:jc w:val="left"/>
      </w:pPr>
    </w:p>
    <w:p w14:paraId="4364629E" w14:textId="77777777" w:rsidR="009614D9" w:rsidRDefault="009614D9" w:rsidP="0072342E">
      <w:pPr>
        <w:pStyle w:val="affb"/>
        <w:jc w:val="left"/>
      </w:pPr>
    </w:p>
    <w:p w14:paraId="7D281326" w14:textId="77777777" w:rsidR="009614D9" w:rsidRDefault="009614D9" w:rsidP="0072342E">
      <w:pPr>
        <w:pStyle w:val="affb"/>
        <w:jc w:val="left"/>
      </w:pPr>
    </w:p>
    <w:p w14:paraId="05738B26" w14:textId="77777777" w:rsidR="009614D9" w:rsidRDefault="009614D9" w:rsidP="0072342E">
      <w:pPr>
        <w:pStyle w:val="affb"/>
        <w:jc w:val="left"/>
      </w:pPr>
    </w:p>
    <w:p w14:paraId="3CADEB79" w14:textId="77777777" w:rsidR="009614D9" w:rsidRDefault="009614D9" w:rsidP="0072342E">
      <w:pPr>
        <w:pStyle w:val="affb"/>
        <w:jc w:val="left"/>
      </w:pPr>
    </w:p>
    <w:p w14:paraId="772F6369" w14:textId="77777777" w:rsidR="009614D9" w:rsidRDefault="009614D9" w:rsidP="0072342E">
      <w:pPr>
        <w:pStyle w:val="affb"/>
        <w:jc w:val="left"/>
      </w:pPr>
    </w:p>
    <w:p w14:paraId="7005A6E8" w14:textId="77777777" w:rsidR="009614D9" w:rsidRDefault="009614D9" w:rsidP="0072342E">
      <w:pPr>
        <w:pStyle w:val="affb"/>
        <w:jc w:val="left"/>
      </w:pPr>
    </w:p>
    <w:p w14:paraId="6AB95970" w14:textId="1CE30735" w:rsidR="003830AE" w:rsidRPr="00B602F2" w:rsidRDefault="00AF4497" w:rsidP="0072342E">
      <w:pPr>
        <w:pStyle w:val="affb"/>
        <w:jc w:val="left"/>
      </w:pPr>
      <w:r>
        <w:lastRenderedPageBreak/>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14:paraId="63A91665" w14:textId="77777777"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14:paraId="001850F1" w14:textId="77777777" w:rsidTr="006D7089">
        <w:trPr>
          <w:trHeight w:val="300"/>
        </w:trPr>
        <w:tc>
          <w:tcPr>
            <w:tcW w:w="2594" w:type="dxa"/>
            <w:shd w:val="clear" w:color="auto" w:fill="auto"/>
            <w:vAlign w:val="center"/>
            <w:hideMark/>
          </w:tcPr>
          <w:p w14:paraId="68CD126E" w14:textId="77777777"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1E48FBD3" w14:textId="77777777"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70F19CC6" w14:textId="77777777"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14:paraId="6A4C3298" w14:textId="77777777" w:rsidTr="006D7089">
        <w:trPr>
          <w:trHeight w:val="2550"/>
        </w:trPr>
        <w:tc>
          <w:tcPr>
            <w:tcW w:w="2594" w:type="dxa"/>
            <w:shd w:val="clear" w:color="auto" w:fill="auto"/>
            <w:vAlign w:val="center"/>
            <w:hideMark/>
          </w:tcPr>
          <w:p w14:paraId="3FE5EE84" w14:textId="77777777"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14:paraId="72FC03EF" w14:textId="6F72C375"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492FE853"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4DF0A5C6"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24146CCE"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3E9EE670" w14:textId="77777777"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14:paraId="70FB3B17" w14:textId="77777777"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7116CA7A" w14:textId="20C1537F"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14:paraId="6D4EB2C5" w14:textId="0B86E6D0"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02329A0A" w14:textId="159DD405"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14:paraId="03C8AD85" w14:textId="77777777" w:rsidTr="006D7089">
        <w:trPr>
          <w:trHeight w:val="847"/>
        </w:trPr>
        <w:tc>
          <w:tcPr>
            <w:tcW w:w="2594" w:type="dxa"/>
            <w:shd w:val="clear" w:color="auto" w:fill="auto"/>
            <w:vAlign w:val="center"/>
            <w:hideMark/>
          </w:tcPr>
          <w:p w14:paraId="083DDD92" w14:textId="77777777"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14:paraId="4869E72E" w14:textId="77777777"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14:paraId="21D6B1F2" w14:textId="77777777"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14:paraId="44754969" w14:textId="77777777"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14:paraId="12DAA769" w14:textId="134B17BF" w:rsidR="00263168" w:rsidRDefault="00ED2D53" w:rsidP="00E96A1C">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14:paraId="628E1955" w14:textId="1ABB300E"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006ECA11" w14:textId="77777777" w:rsidR="008705DE" w:rsidRDefault="003830AE" w:rsidP="009A443F">
            <w:pPr>
              <w:ind w:left="175"/>
              <w:jc w:val="both"/>
              <w:rPr>
                <w:bCs/>
                <w:sz w:val="22"/>
                <w:szCs w:val="22"/>
              </w:rPr>
            </w:pPr>
            <w:r w:rsidRPr="006D7089">
              <w:rPr>
                <w:bCs/>
                <w:sz w:val="22"/>
                <w:szCs w:val="22"/>
              </w:rPr>
              <w:lastRenderedPageBreak/>
              <w:t>Дата перехода прав собственности на ценные бумаги:</w:t>
            </w:r>
          </w:p>
          <w:p w14:paraId="354AAF24" w14:textId="77777777"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0D2DBE11" w14:textId="5E2F5C35"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14:paraId="6D0647C9" w14:textId="77777777"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12F37C83" w14:textId="77777777"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14:paraId="21FC65AD" w14:textId="559C3785" w:rsidR="00ED2D53" w:rsidRPr="00800856" w:rsidRDefault="00ED2D53" w:rsidP="00E96A1C">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w:t>
            </w:r>
            <w:r w:rsidRPr="00800856">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14:paraId="1721F36E" w14:textId="3132770D"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14:paraId="173FC080" w14:textId="77777777" w:rsidR="00ED2D53" w:rsidRPr="006D7089" w:rsidRDefault="00ED2D53" w:rsidP="009A443F">
            <w:pPr>
              <w:ind w:left="175"/>
              <w:jc w:val="both"/>
              <w:rPr>
                <w:bCs/>
                <w:sz w:val="22"/>
                <w:szCs w:val="22"/>
              </w:rPr>
            </w:pPr>
          </w:p>
        </w:tc>
      </w:tr>
      <w:tr w:rsidR="004E45B5" w:rsidRPr="008705DE" w14:paraId="492B13A1" w14:textId="77777777" w:rsidTr="006D7089">
        <w:trPr>
          <w:trHeight w:val="1299"/>
        </w:trPr>
        <w:tc>
          <w:tcPr>
            <w:tcW w:w="2594" w:type="dxa"/>
            <w:shd w:val="clear" w:color="auto" w:fill="auto"/>
          </w:tcPr>
          <w:p w14:paraId="44B57193" w14:textId="77777777" w:rsidR="004E45B5" w:rsidRPr="006D7089" w:rsidRDefault="004E45B5" w:rsidP="0072342E">
            <w:pPr>
              <w:jc w:val="both"/>
              <w:rPr>
                <w:bCs/>
                <w:sz w:val="22"/>
                <w:szCs w:val="22"/>
              </w:rPr>
            </w:pPr>
            <w:r w:rsidRPr="006D7089">
              <w:rPr>
                <w:bCs/>
                <w:sz w:val="22"/>
                <w:szCs w:val="22"/>
              </w:rPr>
              <w:lastRenderedPageBreak/>
              <w:t>Драгоценные металлы;</w:t>
            </w:r>
          </w:p>
          <w:p w14:paraId="7FD2FF52" w14:textId="77777777"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5C99F4B5" w14:textId="77777777"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194DB0C7" w14:textId="77777777"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548380C8" w14:textId="1047FDD0"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14:paraId="53F0653A" w14:textId="77777777"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4868437A" w14:textId="2EC2F52B"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62F17E41" w14:textId="08443B3B"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658562C5" w14:textId="3CA0FA49"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14:paraId="75109975" w14:textId="77777777" w:rsidTr="006D7089">
        <w:trPr>
          <w:trHeight w:val="645"/>
        </w:trPr>
        <w:tc>
          <w:tcPr>
            <w:tcW w:w="2594" w:type="dxa"/>
            <w:shd w:val="clear" w:color="auto" w:fill="auto"/>
            <w:vAlign w:val="center"/>
          </w:tcPr>
          <w:p w14:paraId="149CEF31" w14:textId="77777777"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6390ED43" w14:textId="77777777"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49EB0199" w14:textId="06AE90AC"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14:paraId="57A937C0" w14:textId="71F0DB44"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14:paraId="11CCB38B" w14:textId="77777777"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14:paraId="53325113" w14:textId="77777777" w:rsidTr="006D7089">
        <w:trPr>
          <w:trHeight w:val="1299"/>
        </w:trPr>
        <w:tc>
          <w:tcPr>
            <w:tcW w:w="2594" w:type="dxa"/>
            <w:shd w:val="clear" w:color="auto" w:fill="auto"/>
            <w:vAlign w:val="center"/>
            <w:hideMark/>
          </w:tcPr>
          <w:p w14:paraId="18DC2607" w14:textId="77777777"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14:paraId="50AB8C38" w14:textId="77777777"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602F2A97" w14:textId="77777777" w:rsidR="00033893" w:rsidRPr="00510CC1" w:rsidRDefault="00033893" w:rsidP="0072342E">
            <w:pPr>
              <w:jc w:val="both"/>
              <w:rPr>
                <w:bCs/>
                <w:sz w:val="22"/>
                <w:szCs w:val="22"/>
              </w:rPr>
            </w:pPr>
            <w:r w:rsidRPr="006D7089">
              <w:rPr>
                <w:bCs/>
                <w:sz w:val="22"/>
                <w:szCs w:val="22"/>
              </w:rPr>
              <w:lastRenderedPageBreak/>
              <w:t>•</w:t>
            </w:r>
            <w:r w:rsidRPr="00510CC1">
              <w:rPr>
                <w:bCs/>
                <w:sz w:val="22"/>
                <w:szCs w:val="22"/>
              </w:rPr>
              <w:t xml:space="preserve"> дата признания долговой ценной бумаги;</w:t>
            </w:r>
          </w:p>
          <w:p w14:paraId="0C81D26D" w14:textId="4018B62A"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14:paraId="6B7264D4" w14:textId="77777777"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14:paraId="1E9312ED" w14:textId="77777777"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14:paraId="0B49D5F5" w14:textId="77777777"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2AA1D2E6" w14:textId="0F1149D8"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w:t>
            </w:r>
            <w:r w:rsidRPr="00800856">
              <w:rPr>
                <w:rFonts w:ascii="Times New Roman" w:eastAsia="Times New Roman" w:hAnsi="Times New Roman"/>
                <w:bCs/>
                <w:lang w:eastAsia="ru-RU"/>
              </w:rPr>
              <w:lastRenderedPageBreak/>
              <w:t>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14:paraId="1D24928E" w14:textId="77777777" w:rsidR="004E45B5" w:rsidRPr="006D7089" w:rsidRDefault="004E45B5" w:rsidP="00800856">
            <w:pPr>
              <w:ind w:left="175"/>
              <w:jc w:val="both"/>
              <w:rPr>
                <w:bCs/>
                <w:sz w:val="22"/>
                <w:szCs w:val="22"/>
              </w:rPr>
            </w:pPr>
          </w:p>
          <w:p w14:paraId="1F1712A0" w14:textId="254A9C1E" w:rsidR="004E45B5" w:rsidRPr="006D7089" w:rsidRDefault="004E45B5" w:rsidP="00E96A1C">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E3191" w:rsidRPr="009614D9" w14:paraId="75C684DA" w14:textId="77777777" w:rsidTr="00E45BEF">
        <w:trPr>
          <w:trHeight w:val="1299"/>
        </w:trPr>
        <w:tc>
          <w:tcPr>
            <w:tcW w:w="2594" w:type="dxa"/>
            <w:shd w:val="clear" w:color="auto" w:fill="auto"/>
            <w:vAlign w:val="center"/>
            <w:hideMark/>
          </w:tcPr>
          <w:p w14:paraId="6703E4DE" w14:textId="77777777" w:rsidR="004E3191" w:rsidRPr="009614D9" w:rsidRDefault="004E3191"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1B6FFA82" w14:textId="77777777" w:rsidR="004E3191" w:rsidRPr="009614D9" w:rsidRDefault="004E3191"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31EA093F" w14:textId="77777777" w:rsidR="004E3191" w:rsidRPr="009614D9" w:rsidRDefault="004E3191"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7A717C51" w14:textId="77777777" w:rsidR="004E3191" w:rsidRPr="009614D9" w:rsidRDefault="004E3191"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6EBB25BC" w14:textId="77777777" w:rsidR="004E3191" w:rsidRPr="009614D9" w:rsidRDefault="004E3191"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1CA3964F" w14:textId="77777777" w:rsidR="004E3191" w:rsidRPr="009614D9" w:rsidRDefault="004E3191"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4ACA15A9" w14:textId="77777777" w:rsidR="004E3191" w:rsidRPr="009614D9" w:rsidRDefault="004E3191" w:rsidP="00E45BEF">
            <w:pPr>
              <w:jc w:val="both"/>
              <w:rPr>
                <w:bCs/>
                <w:sz w:val="22"/>
                <w:szCs w:val="22"/>
              </w:rPr>
            </w:pPr>
          </w:p>
        </w:tc>
        <w:tc>
          <w:tcPr>
            <w:tcW w:w="3544" w:type="dxa"/>
            <w:shd w:val="clear" w:color="auto" w:fill="auto"/>
            <w:vAlign w:val="center"/>
            <w:hideMark/>
          </w:tcPr>
          <w:p w14:paraId="45ADE0BE" w14:textId="77777777"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3A93A587" w14:textId="77777777" w:rsidR="004E3191" w:rsidRPr="009614D9" w:rsidRDefault="004E3191" w:rsidP="00E45BEF">
            <w:pPr>
              <w:jc w:val="both"/>
              <w:rPr>
                <w:bCs/>
                <w:sz w:val="22"/>
                <w:szCs w:val="22"/>
              </w:rPr>
            </w:pPr>
          </w:p>
          <w:p w14:paraId="4D41F0FA" w14:textId="77777777"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14:paraId="1752218D" w14:textId="77777777" w:rsidTr="006D7089">
        <w:trPr>
          <w:trHeight w:val="645"/>
        </w:trPr>
        <w:tc>
          <w:tcPr>
            <w:tcW w:w="2594" w:type="dxa"/>
            <w:shd w:val="clear" w:color="auto" w:fill="auto"/>
            <w:vAlign w:val="center"/>
            <w:hideMark/>
          </w:tcPr>
          <w:p w14:paraId="7871D71C" w14:textId="7B96DC50"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14:paraId="4256353F" w14:textId="77777777" w:rsidR="00F25076" w:rsidRPr="006D7089" w:rsidRDefault="00F25076" w:rsidP="0072342E">
            <w:pPr>
              <w:rPr>
                <w:bCs/>
                <w:color w:val="000000"/>
                <w:sz w:val="22"/>
                <w:szCs w:val="22"/>
              </w:rPr>
            </w:pPr>
          </w:p>
        </w:tc>
        <w:tc>
          <w:tcPr>
            <w:tcW w:w="3360" w:type="dxa"/>
            <w:shd w:val="clear" w:color="auto" w:fill="auto"/>
            <w:vAlign w:val="bottom"/>
            <w:hideMark/>
          </w:tcPr>
          <w:p w14:paraId="00459745" w14:textId="2E8B3672"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14:paraId="1CB94714" w14:textId="2A7BD2AC"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0AE893D7" w14:textId="5B3EE749"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177C5193" w14:textId="2409E785" w:rsidR="00F25076" w:rsidRPr="006D7089" w:rsidRDefault="00F25076" w:rsidP="008A7A8D">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14:paraId="58717844" w14:textId="77777777" w:rsidTr="006D7089">
        <w:trPr>
          <w:trHeight w:val="645"/>
        </w:trPr>
        <w:tc>
          <w:tcPr>
            <w:tcW w:w="2594" w:type="dxa"/>
            <w:shd w:val="clear" w:color="auto" w:fill="auto"/>
            <w:vAlign w:val="center"/>
          </w:tcPr>
          <w:p w14:paraId="44DDCF57" w14:textId="77777777"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0C6805C7" w14:textId="45EBEF00"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14:paraId="0DB251E7" w14:textId="77777777"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0CFCBDA6" w14:textId="28B7AE19"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14:paraId="57043BA8" w14:textId="30D3DE76"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14:paraId="5A503575" w14:textId="77777777" w:rsidTr="006D7089">
        <w:trPr>
          <w:trHeight w:val="645"/>
        </w:trPr>
        <w:tc>
          <w:tcPr>
            <w:tcW w:w="2594" w:type="dxa"/>
            <w:shd w:val="clear" w:color="auto" w:fill="auto"/>
            <w:vAlign w:val="center"/>
          </w:tcPr>
          <w:p w14:paraId="141FB98C" w14:textId="77777777"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14:paraId="201DF878" w14:textId="77777777"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38D1C772" w14:textId="77777777"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62DD2E90" w14:textId="77777777" w:rsidR="004E45B5" w:rsidRPr="006D7089" w:rsidRDefault="004E45B5" w:rsidP="0072342E">
            <w:pPr>
              <w:jc w:val="both"/>
              <w:rPr>
                <w:bCs/>
                <w:sz w:val="22"/>
                <w:szCs w:val="22"/>
              </w:rPr>
            </w:pPr>
          </w:p>
        </w:tc>
      </w:tr>
      <w:tr w:rsidR="00C50D43" w:rsidRPr="008705DE" w14:paraId="0702A3BD" w14:textId="77777777" w:rsidTr="006D7089">
        <w:trPr>
          <w:trHeight w:val="645"/>
        </w:trPr>
        <w:tc>
          <w:tcPr>
            <w:tcW w:w="2594" w:type="dxa"/>
            <w:shd w:val="clear" w:color="auto" w:fill="auto"/>
          </w:tcPr>
          <w:p w14:paraId="521FBFF7" w14:textId="77777777"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14:paraId="2714473D" w14:textId="77777777"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14:paraId="4FFDC733" w14:textId="4B0A1A40"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14:paraId="55CFD9C6" w14:textId="5D9DEABB"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14:paraId="21E27080" w14:textId="77777777"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14:paraId="0452A370" w14:textId="77777777" w:rsidTr="006D7089">
        <w:trPr>
          <w:trHeight w:val="645"/>
        </w:trPr>
        <w:tc>
          <w:tcPr>
            <w:tcW w:w="2594" w:type="dxa"/>
            <w:shd w:val="clear" w:color="auto" w:fill="auto"/>
            <w:vAlign w:val="center"/>
          </w:tcPr>
          <w:p w14:paraId="0B5036D8" w14:textId="77777777"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14:paraId="1F54C441" w14:textId="77777777"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11F9A58B" w14:textId="77777777" w:rsidR="00046022" w:rsidRPr="006D7089" w:rsidRDefault="00046022" w:rsidP="0072342E">
            <w:pPr>
              <w:rPr>
                <w:bCs/>
                <w:sz w:val="22"/>
                <w:szCs w:val="22"/>
              </w:rPr>
            </w:pPr>
          </w:p>
          <w:p w14:paraId="31507441" w14:textId="77777777" w:rsidR="00046022" w:rsidRPr="006D7089" w:rsidRDefault="00046022" w:rsidP="0072342E">
            <w:pPr>
              <w:rPr>
                <w:bCs/>
                <w:sz w:val="22"/>
                <w:szCs w:val="22"/>
              </w:rPr>
            </w:pPr>
            <w:r w:rsidRPr="006D7089">
              <w:rPr>
                <w:bCs/>
                <w:sz w:val="22"/>
                <w:szCs w:val="22"/>
              </w:rPr>
              <w:t>Авансы, выданные за счет имущества ПИФ;</w:t>
            </w:r>
          </w:p>
          <w:p w14:paraId="7688A246" w14:textId="77777777" w:rsidR="00046022" w:rsidRPr="006D7089" w:rsidRDefault="00046022" w:rsidP="0072342E">
            <w:pPr>
              <w:rPr>
                <w:bCs/>
                <w:sz w:val="22"/>
                <w:szCs w:val="22"/>
              </w:rPr>
            </w:pPr>
          </w:p>
          <w:p w14:paraId="72C64E43" w14:textId="77777777"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14:paraId="3CB563D7" w14:textId="77777777" w:rsidR="00046022" w:rsidRPr="006D7089" w:rsidRDefault="00046022" w:rsidP="0072342E">
            <w:pPr>
              <w:rPr>
                <w:bCs/>
                <w:sz w:val="22"/>
                <w:szCs w:val="22"/>
              </w:rPr>
            </w:pPr>
          </w:p>
          <w:p w14:paraId="15C4008E" w14:textId="77777777"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B560C13" w14:textId="77777777" w:rsidR="00046022" w:rsidRPr="006D7089" w:rsidRDefault="00046022" w:rsidP="0072342E">
            <w:pPr>
              <w:rPr>
                <w:bCs/>
                <w:sz w:val="22"/>
                <w:szCs w:val="22"/>
              </w:rPr>
            </w:pPr>
          </w:p>
          <w:p w14:paraId="4F19E920" w14:textId="77777777"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14:paraId="3011619E" w14:textId="77777777" w:rsidR="00046022" w:rsidRPr="006D7089" w:rsidRDefault="00046022" w:rsidP="0072342E">
            <w:pPr>
              <w:rPr>
                <w:bCs/>
                <w:sz w:val="22"/>
                <w:szCs w:val="22"/>
              </w:rPr>
            </w:pPr>
          </w:p>
          <w:p w14:paraId="25DAC0F1" w14:textId="77777777"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14:paraId="5428AF85" w14:textId="77777777" w:rsidR="00046022" w:rsidRPr="006D7089" w:rsidRDefault="00046022" w:rsidP="0072342E">
            <w:pPr>
              <w:rPr>
                <w:bCs/>
                <w:sz w:val="22"/>
                <w:szCs w:val="22"/>
              </w:rPr>
            </w:pPr>
          </w:p>
        </w:tc>
        <w:tc>
          <w:tcPr>
            <w:tcW w:w="3360" w:type="dxa"/>
            <w:shd w:val="clear" w:color="auto" w:fill="auto"/>
          </w:tcPr>
          <w:p w14:paraId="37E27694" w14:textId="77777777"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05EBEFE0" w14:textId="77777777"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475E0B43" w14:textId="77777777" w:rsidR="00046022" w:rsidRPr="006D7089" w:rsidRDefault="00046022" w:rsidP="0072342E">
            <w:pPr>
              <w:rPr>
                <w:bCs/>
                <w:sz w:val="22"/>
                <w:szCs w:val="22"/>
              </w:rPr>
            </w:pPr>
          </w:p>
        </w:tc>
        <w:tc>
          <w:tcPr>
            <w:tcW w:w="3544" w:type="dxa"/>
            <w:shd w:val="clear" w:color="auto" w:fill="auto"/>
          </w:tcPr>
          <w:p w14:paraId="7DE2ED97" w14:textId="77777777"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05C1BB69" w14:textId="77777777" w:rsidR="00046022" w:rsidRPr="006D7089" w:rsidRDefault="00046022" w:rsidP="0072342E">
            <w:pPr>
              <w:rPr>
                <w:bCs/>
                <w:sz w:val="22"/>
                <w:szCs w:val="22"/>
              </w:rPr>
            </w:pPr>
            <w:r w:rsidRPr="006D7089">
              <w:rPr>
                <w:bCs/>
                <w:sz w:val="22"/>
                <w:szCs w:val="22"/>
              </w:rPr>
              <w:t>Для остальных видов активов:</w:t>
            </w:r>
          </w:p>
          <w:p w14:paraId="743F60DE" w14:textId="77777777"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3E74078E" w14:textId="0E42EDD7"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14:paraId="68E5F8C8" w14:textId="77777777" w:rsidTr="002C2B31">
        <w:trPr>
          <w:trHeight w:val="645"/>
        </w:trPr>
        <w:tc>
          <w:tcPr>
            <w:tcW w:w="2594" w:type="dxa"/>
            <w:shd w:val="clear" w:color="auto" w:fill="auto"/>
            <w:vAlign w:val="center"/>
          </w:tcPr>
          <w:p w14:paraId="7154B2C9" w14:textId="77777777"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14:paraId="595BC493" w14:textId="77777777"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30912979" w14:textId="77777777"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14:paraId="4BF0DA47" w14:textId="77777777"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14:paraId="71F2AF08" w14:textId="77777777"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14:paraId="0631AC90" w14:textId="77777777" w:rsidR="002C2B31" w:rsidRPr="006D7089" w:rsidRDefault="002C2B31" w:rsidP="0072342E">
            <w:pPr>
              <w:rPr>
                <w:bCs/>
                <w:sz w:val="22"/>
                <w:szCs w:val="22"/>
              </w:rPr>
            </w:pPr>
          </w:p>
        </w:tc>
        <w:tc>
          <w:tcPr>
            <w:tcW w:w="3544" w:type="dxa"/>
            <w:shd w:val="clear" w:color="auto" w:fill="auto"/>
          </w:tcPr>
          <w:p w14:paraId="3AB5BE18" w14:textId="38AB05C8"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r w:rsidR="008A7A8D">
              <w:rPr>
                <w:bCs/>
                <w:sz w:val="22"/>
                <w:szCs w:val="22"/>
              </w:rPr>
              <w:t>.</w:t>
            </w:r>
          </w:p>
          <w:p w14:paraId="694A77E2" w14:textId="77777777"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14:paraId="29B87070" w14:textId="77777777" w:rsidTr="006D7089">
        <w:trPr>
          <w:trHeight w:val="645"/>
        </w:trPr>
        <w:tc>
          <w:tcPr>
            <w:tcW w:w="2594" w:type="dxa"/>
            <w:shd w:val="clear" w:color="auto" w:fill="auto"/>
            <w:vAlign w:val="center"/>
          </w:tcPr>
          <w:p w14:paraId="59860F22" w14:textId="77777777"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14:paraId="06FF7C92" w14:textId="77777777"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125AB220" w14:textId="77777777"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3C703B3C" w14:textId="77777777"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389D3CD2" w14:textId="77777777"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03331DD5" w14:textId="77777777" w:rsidR="002C2B31" w:rsidRPr="006D7089" w:rsidRDefault="002C2B31" w:rsidP="0072342E">
            <w:pPr>
              <w:rPr>
                <w:bCs/>
                <w:sz w:val="22"/>
                <w:szCs w:val="22"/>
              </w:rPr>
            </w:pPr>
          </w:p>
        </w:tc>
        <w:tc>
          <w:tcPr>
            <w:tcW w:w="3544" w:type="dxa"/>
            <w:shd w:val="clear" w:color="auto" w:fill="auto"/>
          </w:tcPr>
          <w:p w14:paraId="5B0C2A2D" w14:textId="77777777"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14:paraId="7CBAEA38" w14:textId="77777777"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14:paraId="27FC2337" w14:textId="77777777" w:rsidTr="006D7089">
        <w:trPr>
          <w:trHeight w:val="645"/>
        </w:trPr>
        <w:tc>
          <w:tcPr>
            <w:tcW w:w="2594" w:type="dxa"/>
            <w:shd w:val="clear" w:color="auto" w:fill="auto"/>
            <w:vAlign w:val="center"/>
            <w:hideMark/>
          </w:tcPr>
          <w:p w14:paraId="23BE498A" w14:textId="77777777"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5617E63C" w14:textId="77777777" w:rsidR="00F013EC" w:rsidRPr="00913107" w:rsidRDefault="00F013EC" w:rsidP="0072342E">
            <w:pPr>
              <w:rPr>
                <w:bCs/>
                <w:szCs w:val="24"/>
              </w:rPr>
            </w:pPr>
          </w:p>
          <w:p w14:paraId="6DE860FD" w14:textId="69C80903"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14:paraId="06DDB7E9" w14:textId="56E95CB9" w:rsidR="00F013EC" w:rsidRPr="006D7089" w:rsidRDefault="004E3191" w:rsidP="0072342E">
            <w:pPr>
              <w:rPr>
                <w:bCs/>
                <w:sz w:val="22"/>
                <w:szCs w:val="22"/>
              </w:rPr>
            </w:pPr>
            <w:r w:rsidRPr="009614D9">
              <w:rPr>
                <w:bCs/>
                <w:sz w:val="22"/>
                <w:szCs w:val="22"/>
              </w:rPr>
              <w:t>Дата исполнения обязательств согласно сделке.</w:t>
            </w:r>
          </w:p>
          <w:p w14:paraId="02E50BA3" w14:textId="77777777"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14:paraId="1282EBFB" w14:textId="77777777" w:rsidTr="006D7089">
        <w:trPr>
          <w:trHeight w:val="510"/>
        </w:trPr>
        <w:tc>
          <w:tcPr>
            <w:tcW w:w="2594" w:type="dxa"/>
            <w:shd w:val="clear" w:color="auto" w:fill="auto"/>
            <w:vAlign w:val="center"/>
          </w:tcPr>
          <w:p w14:paraId="0EDFB4E6" w14:textId="77777777"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372BA3B6" w14:textId="77777777"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203453E3" w14:textId="77777777"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14:paraId="54D1AACE" w14:textId="77777777" w:rsidTr="006D7089">
        <w:trPr>
          <w:trHeight w:val="510"/>
        </w:trPr>
        <w:tc>
          <w:tcPr>
            <w:tcW w:w="2594" w:type="dxa"/>
            <w:shd w:val="clear" w:color="auto" w:fill="auto"/>
            <w:vAlign w:val="center"/>
          </w:tcPr>
          <w:p w14:paraId="43A3BEB8" w14:textId="77777777"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7BD87E12" w14:textId="77777777"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3B696197" w14:textId="77777777"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14:paraId="4BA3318D" w14:textId="77777777" w:rsidTr="006D7089">
        <w:trPr>
          <w:trHeight w:val="510"/>
        </w:trPr>
        <w:tc>
          <w:tcPr>
            <w:tcW w:w="2594" w:type="dxa"/>
            <w:shd w:val="clear" w:color="auto" w:fill="auto"/>
            <w:vAlign w:val="center"/>
          </w:tcPr>
          <w:p w14:paraId="0A928F95" w14:textId="77777777"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14:paraId="339B0C70" w14:textId="77777777"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14:paraId="5E38FF33" w14:textId="77777777"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14:paraId="45651625" w14:textId="77777777" w:rsidTr="006D7089">
        <w:trPr>
          <w:trHeight w:val="510"/>
        </w:trPr>
        <w:tc>
          <w:tcPr>
            <w:tcW w:w="2594" w:type="dxa"/>
            <w:shd w:val="clear" w:color="auto" w:fill="auto"/>
            <w:vAlign w:val="center"/>
          </w:tcPr>
          <w:p w14:paraId="4EB0C8E3" w14:textId="77777777"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6F177E0F" w14:textId="77777777"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14:paraId="734BFE3B" w14:textId="77777777"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14:paraId="31264514" w14:textId="77777777" w:rsidTr="006D7089">
        <w:trPr>
          <w:trHeight w:val="1299"/>
        </w:trPr>
        <w:tc>
          <w:tcPr>
            <w:tcW w:w="2594" w:type="dxa"/>
            <w:shd w:val="clear" w:color="auto" w:fill="auto"/>
            <w:vAlign w:val="center"/>
          </w:tcPr>
          <w:p w14:paraId="520F54E5" w14:textId="77777777"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3138ABA9" w14:textId="77777777"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661E3D65" w14:textId="77777777"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14:paraId="7BD89B85" w14:textId="77777777" w:rsidTr="006D7089">
        <w:trPr>
          <w:trHeight w:val="1299"/>
        </w:trPr>
        <w:tc>
          <w:tcPr>
            <w:tcW w:w="2594" w:type="dxa"/>
            <w:shd w:val="clear" w:color="auto" w:fill="auto"/>
            <w:hideMark/>
          </w:tcPr>
          <w:p w14:paraId="2434CDA2" w14:textId="77777777"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14:paraId="18C190A1" w14:textId="77777777"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14:paraId="54D61C9F" w14:textId="77777777"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3514D914" w14:textId="77777777"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14:paraId="33E38003" w14:textId="77777777" w:rsidTr="006D7089">
        <w:trPr>
          <w:trHeight w:val="510"/>
        </w:trPr>
        <w:tc>
          <w:tcPr>
            <w:tcW w:w="2594" w:type="dxa"/>
            <w:shd w:val="clear" w:color="auto" w:fill="auto"/>
            <w:vAlign w:val="center"/>
          </w:tcPr>
          <w:p w14:paraId="3FD3338E" w14:textId="77777777"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14:paraId="246D9A57" w14:textId="77777777"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1BC6C796" w14:textId="77777777"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14:paraId="4CC4EDDA" w14:textId="77777777"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9B2C79C" w14:textId="77777777"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AA08151" w14:textId="77777777"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A8DCB82" w14:textId="77777777"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14:paraId="6360BA75" w14:textId="77777777" w:rsidTr="006D7089">
        <w:trPr>
          <w:trHeight w:val="510"/>
        </w:trPr>
        <w:tc>
          <w:tcPr>
            <w:tcW w:w="2594" w:type="dxa"/>
            <w:shd w:val="clear" w:color="auto" w:fill="auto"/>
            <w:vAlign w:val="center"/>
          </w:tcPr>
          <w:p w14:paraId="39E5A3CE" w14:textId="77777777"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39C9E6FC" w14:textId="77777777"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11AF2086" w14:textId="77777777"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14:paraId="067F7965" w14:textId="77777777"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10DDFF23" w14:textId="77777777" w:rsidR="003830AE" w:rsidRPr="006D7089" w:rsidRDefault="003830AE" w:rsidP="0072342E">
      <w:pPr>
        <w:ind w:left="4820"/>
        <w:jc w:val="both"/>
        <w:rPr>
          <w:b/>
        </w:rPr>
      </w:pPr>
    </w:p>
    <w:p w14:paraId="2F919305" w14:textId="77777777"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9" w:name="_Toc74043297"/>
      <w:r w:rsidRPr="007F610B">
        <w:t>Термины и определения:</w:t>
      </w:r>
      <w:bookmarkEnd w:id="19"/>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8267F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8267F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8267F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8267F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8267F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8267F4"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8267F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8267F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8267F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8267F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8267F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85pt;height:33.5pt" o:ole="">
            <v:imagedata r:id="rId83" o:title=""/>
          </v:shape>
          <o:OLEObject Type="Embed" ProgID="Equation.3" ShapeID="_x0000_i1072" DrawAspect="Content" ObjectID="_1753183482" r:id="rId84"/>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8267F4"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8267F4"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8267F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8267F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8267F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8267F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8267F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8267F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8267F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8267F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8267F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8267F4"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8267F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8267F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8267F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8267F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8267F4"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8267F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8267F4"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8267F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8267F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8267F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8267F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8267F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8267F4"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8267F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8267F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8267F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8267F4"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8267F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8267F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8267F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8267F4"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8267F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8267F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8267F4"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8267F4"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8267F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14:paraId="2317D532" w14:textId="77777777" w:rsidR="00EB1A03" w:rsidRDefault="00EB1A03" w:rsidP="0072342E">
      <w:pPr>
        <w:pStyle w:val="2"/>
      </w:pPr>
      <w:bookmarkStart w:id="35" w:name="_Toc74043318"/>
      <w:r w:rsidRPr="00EB1A03">
        <w:t>Общие положения</w:t>
      </w:r>
      <w:bookmarkEnd w:id="35"/>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6" w:name="_Toc74043319"/>
      <w:r w:rsidRPr="00EB1A03">
        <w:t>Термины и определения, используемые в настоящем Приложении</w:t>
      </w:r>
      <w:bookmarkEnd w:id="36"/>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14:paraId="70BAA12A" w14:textId="77777777" w:rsidR="00934212" w:rsidRPr="00755A36" w:rsidRDefault="008267F4"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8267F4"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8" w:name="_Toc74043321"/>
      <w:r w:rsidRPr="00CC6B22">
        <w:t>Раздел 2. Оценка активов. Обесценение без дефолта.</w:t>
      </w:r>
      <w:bookmarkEnd w:id="38"/>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8267F4"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1" w:name="_Toc74043324"/>
      <w:r w:rsidRPr="005A6C5B">
        <w:t>Раздел 5.  Расчет LGD</w:t>
      </w:r>
      <w:bookmarkEnd w:id="41"/>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614D9"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614D9"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3" w:name="_Toc66447217"/>
      <w:r w:rsidR="005D27E1">
        <w:t xml:space="preserve">                                                                                                                            </w:t>
      </w:r>
      <w:bookmarkStart w:id="44" w:name="_Toc74043327"/>
      <w:bookmarkEnd w:id="43"/>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5" w:name="_Toc74043328"/>
      <w:r>
        <w:br w:type="page"/>
      </w:r>
    </w:p>
    <w:p w14:paraId="6B2D5AF4" w14:textId="77777777" w:rsidR="00585C5E" w:rsidRDefault="00AC6698" w:rsidP="00585C5E">
      <w:pPr>
        <w:pStyle w:val="affb"/>
      </w:pPr>
      <w:r w:rsidRPr="00207827">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tab/>
      </w:r>
      <w:r>
        <w:rPr>
          <w:b w:val="0"/>
        </w:rPr>
        <w:tab/>
      </w:r>
      <w:bookmarkStart w:id="47"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0.9pt;height:19.25pt" o:ole="">
            <v:imagedata r:id="rId98" o:title=""/>
          </v:shape>
          <o:OLEObject Type="Embed" ProgID="Equation.3" ShapeID="_x0000_i1073" DrawAspect="Content" ObjectID="_1753183483" r:id="rId99"/>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9pt;height:19.25pt" o:ole="">
            <v:imagedata r:id="rId100" o:title=""/>
          </v:shape>
          <o:OLEObject Type="Embed" ProgID="Equation.3" ShapeID="_x0000_i1074" DrawAspect="Content" ObjectID="_1753183484" r:id="rId101"/>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8267F4"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8267F4"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5A3" w14:textId="77777777" w:rsidR="00DB7AC2" w:rsidRDefault="00DB7AC2">
    <w:pPr>
      <w:pStyle w:val="af4"/>
      <w:jc w:val="right"/>
    </w:pPr>
    <w:r>
      <w:fldChar w:fldCharType="begin"/>
    </w:r>
    <w:r>
      <w:instrText>PAGE   \* MERGEFORMAT</w:instrText>
    </w:r>
    <w:r>
      <w:fldChar w:fldCharType="separate"/>
    </w:r>
    <w:r w:rsidR="008267F4">
      <w:rPr>
        <w:noProof/>
      </w:rPr>
      <w:t>1</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67F4"/>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15:docId w15:val="{8AEA54A0-45D8-490E-AF24-626B9249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1662-626E-41A8-842C-CBCF841B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26313</Words>
  <Characters>149986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2023-06-19T12:28:00Z</cp:lastPrinted>
  <dcterms:created xsi:type="dcterms:W3CDTF">2023-08-10T11:24:00Z</dcterms:created>
  <dcterms:modified xsi:type="dcterms:W3CDTF">2023-08-10T11:30:00Z</dcterms:modified>
</cp:coreProperties>
</file>